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8C" w:rsidRPr="000F26FC" w:rsidRDefault="00304A8C" w:rsidP="009C4D59">
      <w:pPr>
        <w:pStyle w:val="1"/>
        <w:jc w:val="center"/>
        <w:rPr>
          <w:sz w:val="32"/>
          <w:szCs w:val="32"/>
        </w:rPr>
      </w:pPr>
      <w:r w:rsidRPr="000F26FC">
        <w:rPr>
          <w:rFonts w:hint="eastAsia"/>
          <w:sz w:val="32"/>
          <w:szCs w:val="32"/>
        </w:rPr>
        <w:t>评标办法</w:t>
      </w:r>
      <w:bookmarkStart w:id="0" w:name="_Toc425249145"/>
      <w:bookmarkStart w:id="1" w:name="_Toc17692"/>
      <w:bookmarkStart w:id="2" w:name="_Toc152042387"/>
      <w:bookmarkStart w:id="3" w:name="_Toc423466042"/>
      <w:bookmarkStart w:id="4" w:name="_Toc144974577"/>
      <w:bookmarkStart w:id="5" w:name="_Toc152045609"/>
      <w:bookmarkStart w:id="6" w:name="_Toc179632627"/>
      <w:bookmarkStart w:id="7" w:name="_Toc246996252"/>
      <w:bookmarkStart w:id="8" w:name="_Toc246996995"/>
      <w:bookmarkStart w:id="9" w:name="_Toc247085767"/>
      <w:bookmarkStart w:id="10" w:name="_Toc366679736"/>
      <w:bookmarkStart w:id="11" w:name="_Toc387526240"/>
      <w:bookmarkStart w:id="12" w:name="_Toc387526344"/>
      <w:bookmarkStart w:id="13" w:name="_Toc387526436"/>
    </w:p>
    <w:p w:rsidR="00304A8C" w:rsidRDefault="00304A8C" w:rsidP="00304A8C">
      <w:pPr>
        <w:spacing w:line="400" w:lineRule="exact"/>
        <w:ind w:firstLineChars="300" w:firstLine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本工程采用综合评标法，且采用资格后审的方式，评标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 w:rsidR="00AB26C7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满足招标文件实质性要求的基础上，对各投标人的得分进行汇总，计算出每一投标人的总分,总分=技术分+商务分。总得分最高者为第一中标人，得分相同时，报价低者为中标单位；投标报价相等时，抽签确定中标</w:t>
      </w:r>
      <w:r w:rsidR="00975DEC">
        <w:rPr>
          <w:rFonts w:ascii="宋体" w:hAnsi="宋体" w:cs="宋体" w:hint="eastAsia"/>
          <w:color w:val="000000"/>
          <w:kern w:val="0"/>
          <w:sz w:val="24"/>
        </w:rPr>
        <w:t>人</w:t>
      </w:r>
      <w:r>
        <w:rPr>
          <w:rFonts w:ascii="宋体" w:hAnsi="宋体" w:cs="宋体" w:hint="eastAsia"/>
          <w:color w:val="000000"/>
          <w:kern w:val="0"/>
          <w:sz w:val="24"/>
        </w:rPr>
        <w:t>。中标人放弃中标、因不可抗力不能履行合同、不按招标文件要求提交履约保证金，或者被查实存在影响中标结果的违法行为等情行，不符合中标条件的，招标人按照评标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小组</w:t>
      </w:r>
      <w:r>
        <w:rPr>
          <w:rFonts w:ascii="宋体" w:hAnsi="宋体" w:cs="宋体" w:hint="eastAsia"/>
          <w:color w:val="000000"/>
          <w:kern w:val="0"/>
          <w:sz w:val="24"/>
        </w:rPr>
        <w:t>提出的</w:t>
      </w:r>
      <w:r w:rsidR="001522AB">
        <w:rPr>
          <w:rFonts w:ascii="宋体" w:hAnsi="宋体" w:cs="宋体" w:hint="eastAsia"/>
          <w:color w:val="000000"/>
          <w:kern w:val="0"/>
          <w:sz w:val="24"/>
        </w:rPr>
        <w:t>得分名单排名</w:t>
      </w:r>
      <w:r>
        <w:rPr>
          <w:rFonts w:ascii="宋体" w:hAnsi="宋体" w:cs="宋体" w:hint="eastAsia"/>
          <w:color w:val="000000"/>
          <w:kern w:val="0"/>
          <w:sz w:val="24"/>
        </w:rPr>
        <w:t>依次确定其他候选人为中标人，也可以重新招标。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一、评标程序：资格审查→技术标开标、评标→商务标开标、评标→确定中标人  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二、资格审查：开标后，首先对资格审查文件进行评审，只有通过资格审查的投标人方可参加</w:t>
      </w:r>
      <w:r w:rsidR="00981069">
        <w:rPr>
          <w:rFonts w:ascii="宋体" w:hAnsi="宋体" w:hint="eastAsia"/>
          <w:kern w:val="0"/>
          <w:sz w:val="24"/>
        </w:rPr>
        <w:t>技术</w:t>
      </w:r>
      <w:r>
        <w:rPr>
          <w:rFonts w:ascii="宋体" w:hAnsi="宋体" w:hint="eastAsia"/>
          <w:kern w:val="0"/>
          <w:sz w:val="24"/>
        </w:rPr>
        <w:t>标的评标。</w:t>
      </w:r>
    </w:p>
    <w:p w:rsidR="00304A8C" w:rsidRDefault="00304A8C" w:rsidP="00304A8C">
      <w:pPr>
        <w:spacing w:line="400" w:lineRule="exact"/>
        <w:ind w:left="422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资格审查合格标准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2"/>
        <w:gridCol w:w="4470"/>
        <w:gridCol w:w="1666"/>
      </w:tblGrid>
      <w:tr w:rsidR="00304A8C" w:rsidTr="00C504AF">
        <w:trPr>
          <w:trHeight w:val="5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评审内容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合格条件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widowControl/>
              <w:jc w:val="center"/>
              <w:rPr>
                <w:rFonts w:ascii="@宋体" w:hAnsi="@宋体"/>
                <w:sz w:val="18"/>
                <w:szCs w:val="18"/>
              </w:rPr>
            </w:pPr>
            <w:r>
              <w:rPr>
                <w:rFonts w:ascii="Tahoma" w:eastAsia="Tahoma"/>
              </w:rPr>
              <w:t>投标申请人具备</w:t>
            </w:r>
          </w:p>
          <w:p w:rsidR="00304A8C" w:rsidRDefault="00304A8C" w:rsidP="00815A7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Tahoma" w:eastAsia="Tahoma"/>
              </w:rPr>
              <w:t>的条件或说明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投标人的法人营业执照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有效法人营业执照副本，</w:t>
            </w:r>
            <w:r>
              <w:rPr>
                <w:rFonts w:ascii="Tahoma" w:hint="eastAsia"/>
                <w:sz w:val="18"/>
                <w:szCs w:val="21"/>
              </w:rPr>
              <w:t>招标内容在其</w:t>
            </w:r>
            <w:r>
              <w:rPr>
                <w:rFonts w:ascii="Tahoma" w:eastAsia="Tahoma" w:hint="eastAsia"/>
                <w:sz w:val="18"/>
                <w:szCs w:val="21"/>
              </w:rPr>
              <w:t>营业执照</w:t>
            </w:r>
            <w:r>
              <w:rPr>
                <w:rFonts w:ascii="Tahoma" w:hint="eastAsia"/>
                <w:sz w:val="18"/>
                <w:szCs w:val="21"/>
              </w:rPr>
              <w:t>的</w:t>
            </w:r>
            <w:r>
              <w:rPr>
                <w:rFonts w:ascii="Tahoma" w:eastAsia="Tahoma" w:hint="eastAsia"/>
                <w:sz w:val="18"/>
                <w:szCs w:val="21"/>
              </w:rPr>
              <w:t>经营范围</w:t>
            </w:r>
            <w:r>
              <w:rPr>
                <w:rFonts w:ascii="Tahoma" w:hint="eastAsia"/>
                <w:sz w:val="18"/>
                <w:szCs w:val="21"/>
              </w:rPr>
              <w:t>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法人营业执照</w:t>
            </w:r>
            <w:r>
              <w:rPr>
                <w:rFonts w:ascii="Tahoma" w:hint="eastAsia"/>
                <w:sz w:val="18"/>
                <w:szCs w:val="21"/>
              </w:rPr>
              <w:t xml:space="preserve"> 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sz w:val="18"/>
                <w:szCs w:val="21"/>
              </w:rPr>
            </w:pPr>
            <w:r>
              <w:rPr>
                <w:rFonts w:ascii="Tahoma" w:hint="eastAsia"/>
                <w:sz w:val="18"/>
                <w:szCs w:val="21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法人授权委托书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提供法人授权委托书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/>
                <w:color w:val="000000"/>
                <w:sz w:val="18"/>
                <w:szCs w:val="21"/>
              </w:rPr>
            </w:pPr>
            <w:r>
              <w:rPr>
                <w:rFonts w:ascii="Tahoma" w:hint="eastAsia"/>
                <w:color w:val="000000"/>
                <w:sz w:val="18"/>
                <w:szCs w:val="21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依法缴纳税收和社会保障资金的良好记录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372D9E">
              <w:rPr>
                <w:rFonts w:ascii="Tahoma" w:eastAsia="Tahoma" w:hint="eastAsia"/>
                <w:sz w:val="18"/>
                <w:szCs w:val="21"/>
              </w:rPr>
              <w:t>由税务部门出具近期的税收证明材料和社保缴纳证明文件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72D9E" w:rsidP="00815A71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>
              <w:rPr>
                <w:rFonts w:ascii="Tahoma" w:eastAsia="Tahoma" w:hint="eastAsia"/>
                <w:sz w:val="18"/>
                <w:szCs w:val="21"/>
              </w:rPr>
              <w:t>税</w:t>
            </w:r>
            <w:r w:rsidRPr="00372D9E">
              <w:rPr>
                <w:rFonts w:ascii="Tahoma" w:eastAsia="Tahoma" w:hint="eastAsia"/>
                <w:sz w:val="18"/>
                <w:szCs w:val="21"/>
              </w:rPr>
              <w:t>收证明材料和社保缴纳证明文件</w:t>
            </w:r>
          </w:p>
        </w:tc>
      </w:tr>
      <w:tr w:rsidR="00304A8C" w:rsidTr="00C504AF">
        <w:trPr>
          <w:cantSplit/>
          <w:trHeight w:val="7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815A71">
            <w:pPr>
              <w:spacing w:line="320" w:lineRule="exact"/>
              <w:rPr>
                <w:rFonts w:ascii="Tahoma" w:eastAsia="Tahoma"/>
                <w:color w:val="000000"/>
                <w:sz w:val="18"/>
                <w:szCs w:val="21"/>
              </w:rPr>
            </w:pPr>
            <w:r>
              <w:rPr>
                <w:rFonts w:ascii="Tahoma" w:eastAsia="Tahoma" w:hint="eastAsia"/>
                <w:color w:val="000000"/>
                <w:sz w:val="18"/>
                <w:szCs w:val="21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7F1593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宋体" w:hAnsi="宋体" w:cs="宋体" w:hint="eastAsia"/>
                <w:sz w:val="18"/>
                <w:szCs w:val="21"/>
              </w:rPr>
              <w:t>产品质量承诺书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Pr="00470F03" w:rsidRDefault="00304A8C" w:rsidP="00304A8C">
            <w:pPr>
              <w:spacing w:line="320" w:lineRule="exact"/>
              <w:rPr>
                <w:rFonts w:ascii="Tahoma" w:eastAsia="Tahoma"/>
                <w:sz w:val="18"/>
                <w:szCs w:val="21"/>
              </w:rPr>
            </w:pPr>
            <w:r w:rsidRPr="00470F03">
              <w:rPr>
                <w:rFonts w:ascii="Tahoma" w:eastAsia="Tahoma" w:hint="eastAsia"/>
                <w:sz w:val="18"/>
                <w:szCs w:val="21"/>
              </w:rPr>
              <w:t>产品质量承诺书</w:t>
            </w:r>
          </w:p>
        </w:tc>
      </w:tr>
      <w:tr w:rsidR="00304A8C" w:rsidTr="00C504AF">
        <w:trPr>
          <w:cantSplit/>
          <w:trHeight w:val="56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8C" w:rsidRDefault="00304A8C" w:rsidP="00372D9E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注：1、提供以上所有资料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应提供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原件（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除法人营业执照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需提供加盖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公章的</w:t>
            </w:r>
            <w:r w:rsidR="001560E5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扫描件或复印件）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304A8C" w:rsidRDefault="00304A8C" w:rsidP="00372D9E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372D9E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、上述不符合要求 ，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则资格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审查不通过；</w:t>
            </w:r>
          </w:p>
        </w:tc>
      </w:tr>
    </w:tbl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三、技术标评审（</w:t>
      </w:r>
      <w:r w:rsidR="00B771D3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0分）</w:t>
      </w: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Pr="00B771D3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8A4371" w:rsidRDefault="008A4371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140"/>
        <w:gridCol w:w="585"/>
        <w:gridCol w:w="5974"/>
      </w:tblGrid>
      <w:tr w:rsidR="00304A8C" w:rsidTr="00C504AF">
        <w:trPr>
          <w:cantSplit/>
          <w:trHeight w:val="1691"/>
        </w:trPr>
        <w:tc>
          <w:tcPr>
            <w:tcW w:w="807" w:type="dxa"/>
            <w:vMerge w:val="restart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技术标</w:t>
            </w: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供货响应程度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974" w:type="dxa"/>
            <w:vAlign w:val="center"/>
          </w:tcPr>
          <w:p w:rsidR="00304A8C" w:rsidRDefault="00304A8C" w:rsidP="00F15232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投标文件对付款、</w:t>
            </w:r>
            <w:r w:rsidR="008A4371">
              <w:rPr>
                <w:rFonts w:hint="eastAsia"/>
                <w:sz w:val="24"/>
              </w:rPr>
              <w:t>完工时间</w:t>
            </w:r>
            <w:r>
              <w:rPr>
                <w:rFonts w:hint="eastAsia"/>
                <w:sz w:val="24"/>
              </w:rPr>
              <w:t>、</w:t>
            </w:r>
            <w:r w:rsidR="003661C9">
              <w:rPr>
                <w:rFonts w:hint="eastAsia"/>
                <w:sz w:val="24"/>
              </w:rPr>
              <w:t>主</w:t>
            </w:r>
            <w:r w:rsidR="008A4371">
              <w:rPr>
                <w:rFonts w:hint="eastAsia"/>
                <w:sz w:val="24"/>
              </w:rPr>
              <w:t>耗材品牌、</w:t>
            </w:r>
            <w:r>
              <w:rPr>
                <w:rFonts w:hint="eastAsia"/>
                <w:sz w:val="24"/>
              </w:rPr>
              <w:t>验收、售后等商务要求进行响应说明，根据响应程度计分，无响应说明不计分。在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分间打分。</w:t>
            </w:r>
          </w:p>
        </w:tc>
      </w:tr>
      <w:tr w:rsidR="00304A8C" w:rsidTr="00C504AF">
        <w:trPr>
          <w:cantSplit/>
          <w:trHeight w:val="2462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售后服务承诺</w:t>
            </w:r>
          </w:p>
        </w:tc>
        <w:tc>
          <w:tcPr>
            <w:tcW w:w="585" w:type="dxa"/>
            <w:vAlign w:val="center"/>
          </w:tcPr>
          <w:p w:rsidR="00304A8C" w:rsidRDefault="00F15232" w:rsidP="00815A71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5974" w:type="dxa"/>
          </w:tcPr>
          <w:p w:rsidR="00304A8C" w:rsidRDefault="00304A8C" w:rsidP="00815A71">
            <w:pPr>
              <w:spacing w:line="360" w:lineRule="exact"/>
              <w:ind w:left="19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）售后服务能力：已建立直属服务机构，服务措施得力，人员齐全；针对本项目的售后服务，包括前期、中期、后期内容，在</w:t>
            </w:r>
            <w:r>
              <w:rPr>
                <w:rFonts w:hint="eastAsia"/>
                <w:sz w:val="24"/>
              </w:rPr>
              <w:t>0-</w:t>
            </w:r>
            <w:r w:rsidR="00F15232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分间打分；</w:t>
            </w:r>
          </w:p>
          <w:p w:rsidR="00304A8C" w:rsidRDefault="00304A8C" w:rsidP="00A03CEF">
            <w:pPr>
              <w:spacing w:line="360" w:lineRule="exact"/>
              <w:ind w:left="19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8A4371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）售后服务方案：提供完整可行的售后服务方案和措施的，对本工程在产品使用、调试、技术保障、售后维修处理等方面有技术支持，提供完整售后服务计划及承诺书，在</w:t>
            </w:r>
            <w:r>
              <w:rPr>
                <w:rFonts w:hint="eastAsia"/>
                <w:sz w:val="24"/>
              </w:rPr>
              <w:t>0-5</w:t>
            </w:r>
            <w:r>
              <w:rPr>
                <w:rFonts w:hint="eastAsia"/>
                <w:sz w:val="24"/>
              </w:rPr>
              <w:t>分间打分；</w:t>
            </w:r>
          </w:p>
        </w:tc>
      </w:tr>
      <w:tr w:rsidR="00304A8C" w:rsidTr="00C504AF">
        <w:trPr>
          <w:cantSplit/>
          <w:trHeight w:val="614"/>
        </w:trPr>
        <w:tc>
          <w:tcPr>
            <w:tcW w:w="807" w:type="dxa"/>
            <w:vMerge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40" w:type="dxa"/>
            <w:vAlign w:val="center"/>
          </w:tcPr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投标人</w:t>
            </w:r>
          </w:p>
          <w:p w:rsidR="00304A8C" w:rsidRDefault="00304A8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业绩</w:t>
            </w:r>
          </w:p>
        </w:tc>
        <w:tc>
          <w:tcPr>
            <w:tcW w:w="585" w:type="dxa"/>
            <w:vAlign w:val="center"/>
          </w:tcPr>
          <w:p w:rsidR="00304A8C" w:rsidRDefault="00975DEC" w:rsidP="00815A71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974" w:type="dxa"/>
            <w:vAlign w:val="center"/>
          </w:tcPr>
          <w:p w:rsidR="00304A8C" w:rsidRDefault="00304A8C" w:rsidP="00B771D3">
            <w:pPr>
              <w:spacing w:line="360" w:lineRule="exact"/>
              <w:ind w:left="19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近两年内（</w:t>
            </w:r>
            <w:r>
              <w:rPr>
                <w:rFonts w:hint="eastAsia"/>
                <w:bCs/>
                <w:sz w:val="24"/>
              </w:rPr>
              <w:t>201</w:t>
            </w:r>
            <w:r w:rsidR="0033005E"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日起至今，以合同签订时间为准），投标人具有同类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业绩，每提供一份</w:t>
            </w:r>
            <w:r w:rsidR="00B771D3">
              <w:rPr>
                <w:rFonts w:hint="eastAsia"/>
                <w:bCs/>
                <w:sz w:val="24"/>
              </w:rPr>
              <w:t>项目</w:t>
            </w:r>
            <w:r>
              <w:rPr>
                <w:rFonts w:hint="eastAsia"/>
                <w:bCs/>
                <w:sz w:val="24"/>
              </w:rPr>
              <w:t>合同，得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分，最多加</w:t>
            </w:r>
            <w:r w:rsidR="00975DEC"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分。（如不能提供合同，也可提供加盖采购单位公章的证明）。</w:t>
            </w:r>
          </w:p>
        </w:tc>
      </w:tr>
    </w:tbl>
    <w:p w:rsidR="003661C9" w:rsidRDefault="00304A8C" w:rsidP="00304A8C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、招标</w:t>
      </w:r>
      <w:proofErr w:type="gramStart"/>
      <w:r>
        <w:rPr>
          <w:rFonts w:hint="eastAsia"/>
          <w:b/>
          <w:sz w:val="24"/>
        </w:rPr>
        <w:t>标</w:t>
      </w:r>
      <w:proofErr w:type="gramEnd"/>
      <w:r>
        <w:rPr>
          <w:rFonts w:hint="eastAsia"/>
          <w:b/>
          <w:sz w:val="24"/>
        </w:rPr>
        <w:t>文件中涉及的证书、证明材料、合同等相关</w:t>
      </w:r>
      <w:r w:rsidR="003661C9">
        <w:rPr>
          <w:rFonts w:hint="eastAsia"/>
          <w:b/>
          <w:sz w:val="24"/>
        </w:rPr>
        <w:t>资料</w:t>
      </w:r>
      <w:r>
        <w:rPr>
          <w:rFonts w:hint="eastAsia"/>
          <w:b/>
          <w:sz w:val="24"/>
        </w:rPr>
        <w:t>请</w:t>
      </w:r>
      <w:r w:rsidR="003661C9">
        <w:rPr>
          <w:rFonts w:hint="eastAsia"/>
          <w:b/>
          <w:sz w:val="24"/>
        </w:rPr>
        <w:t>提供原件或加盖投标人公章的复印件</w:t>
      </w:r>
      <w:r>
        <w:rPr>
          <w:rFonts w:hint="eastAsia"/>
          <w:b/>
          <w:sz w:val="24"/>
        </w:rPr>
        <w:t>。</w:t>
      </w:r>
    </w:p>
    <w:p w:rsidR="004F6646" w:rsidRPr="004F6646" w:rsidRDefault="004F6646" w:rsidP="004F6646">
      <w:pPr>
        <w:rPr>
          <w:b/>
          <w:sz w:val="24"/>
        </w:rPr>
      </w:pPr>
      <w:r w:rsidRPr="00E7259B">
        <w:rPr>
          <w:rFonts w:hint="eastAsia"/>
          <w:color w:val="FF0000"/>
        </w:rPr>
        <w:tab/>
      </w:r>
      <w:r>
        <w:rPr>
          <w:color w:val="FF0000"/>
        </w:rPr>
        <w:t xml:space="preserve">     </w:t>
      </w:r>
      <w:r w:rsidRPr="004F6646">
        <w:rPr>
          <w:b/>
          <w:sz w:val="24"/>
        </w:rPr>
        <w:t>2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投标时要求提供原厂加盖公章的技术规格偏离表，无法说明者，直接按不响应标书处理</w:t>
      </w:r>
      <w:r w:rsidR="00F800EB">
        <w:rPr>
          <w:rFonts w:hint="eastAsia"/>
          <w:b/>
          <w:sz w:val="24"/>
        </w:rPr>
        <w:t>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3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在投标文件中详细说明标注“★”招标参数的响应情</w:t>
      </w:r>
      <w:bookmarkStart w:id="14" w:name="_GoBack"/>
      <w:bookmarkEnd w:id="14"/>
      <w:r w:rsidRPr="004F6646">
        <w:rPr>
          <w:rFonts w:hint="eastAsia"/>
          <w:b/>
          <w:sz w:val="24"/>
        </w:rPr>
        <w:t>况，标注“★”项为核心技术指标必须满足，</w:t>
      </w:r>
      <w:r w:rsidR="00373C2A" w:rsidRPr="00373C2A">
        <w:rPr>
          <w:rFonts w:hint="eastAsia"/>
          <w:b/>
          <w:sz w:val="24"/>
        </w:rPr>
        <w:t>不能低于核心技术指标；</w:t>
      </w:r>
    </w:p>
    <w:p w:rsidR="004F6646" w:rsidRPr="004F6646" w:rsidRDefault="004F6646" w:rsidP="004F6646">
      <w:pPr>
        <w:ind w:firstLineChars="400" w:firstLine="964"/>
        <w:rPr>
          <w:b/>
          <w:sz w:val="24"/>
        </w:rPr>
      </w:pPr>
      <w:r w:rsidRPr="004F6646">
        <w:rPr>
          <w:b/>
          <w:sz w:val="24"/>
        </w:rPr>
        <w:t>4</w:t>
      </w:r>
      <w:r w:rsidRPr="004F6646">
        <w:rPr>
          <w:b/>
          <w:sz w:val="24"/>
        </w:rPr>
        <w:t>、</w:t>
      </w:r>
      <w:r w:rsidRPr="004F6646">
        <w:rPr>
          <w:rFonts w:hint="eastAsia"/>
          <w:b/>
          <w:sz w:val="24"/>
        </w:rPr>
        <w:t>对标注“★”的招标参数要求提供生产厂家证明资料（证明资料可以包括正规的盖章技术白皮书、官方网站截图及网址），</w:t>
      </w:r>
      <w:r w:rsidR="00F800EB" w:rsidRPr="004F6646">
        <w:rPr>
          <w:rFonts w:hint="eastAsia"/>
          <w:b/>
          <w:sz w:val="24"/>
        </w:rPr>
        <w:t>无法</w:t>
      </w:r>
      <w:r w:rsidR="00F800EB">
        <w:rPr>
          <w:rFonts w:hint="eastAsia"/>
          <w:b/>
          <w:sz w:val="24"/>
        </w:rPr>
        <w:t>提供证明资料</w:t>
      </w:r>
      <w:r w:rsidR="00F800EB" w:rsidRPr="004F6646">
        <w:rPr>
          <w:rFonts w:hint="eastAsia"/>
          <w:b/>
          <w:sz w:val="24"/>
        </w:rPr>
        <w:t>者，</w:t>
      </w:r>
      <w:r w:rsidR="00FB73B9" w:rsidRPr="00FB73B9">
        <w:rPr>
          <w:rFonts w:hint="eastAsia"/>
          <w:b/>
          <w:sz w:val="24"/>
        </w:rPr>
        <w:t>供货响应程度</w:t>
      </w:r>
      <w:r w:rsidR="009817E2">
        <w:rPr>
          <w:rFonts w:hint="eastAsia"/>
          <w:b/>
          <w:sz w:val="24"/>
        </w:rPr>
        <w:t>减</w:t>
      </w:r>
      <w:r w:rsidR="009817E2">
        <w:rPr>
          <w:rFonts w:hint="eastAsia"/>
          <w:b/>
          <w:sz w:val="24"/>
        </w:rPr>
        <w:t>2</w:t>
      </w:r>
      <w:r w:rsidR="009817E2">
        <w:rPr>
          <w:rFonts w:hint="eastAsia"/>
          <w:b/>
          <w:sz w:val="24"/>
        </w:rPr>
        <w:t>分</w:t>
      </w:r>
      <w:r w:rsidR="00F800EB">
        <w:rPr>
          <w:rFonts w:hint="eastAsia"/>
          <w:b/>
          <w:sz w:val="24"/>
        </w:rPr>
        <w:t>；</w:t>
      </w:r>
    </w:p>
    <w:p w:rsidR="00304A8C" w:rsidRDefault="004F6646" w:rsidP="003661C9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300" w:lineRule="auto"/>
        <w:ind w:firstLineChars="400" w:firstLine="964"/>
        <w:rPr>
          <w:rFonts w:ascii="宋体" w:hAnsi="宋体" w:cs="宋体"/>
          <w:b/>
          <w:kern w:val="0"/>
          <w:sz w:val="24"/>
        </w:rPr>
      </w:pPr>
      <w:r>
        <w:rPr>
          <w:b/>
          <w:sz w:val="24"/>
        </w:rPr>
        <w:t>5</w:t>
      </w:r>
      <w:r w:rsidR="00304A8C">
        <w:rPr>
          <w:rFonts w:hint="eastAsia"/>
          <w:b/>
          <w:sz w:val="24"/>
        </w:rPr>
        <w:t>、技术标得分为所有评委打分的算术平均值，计算结果均四舍五入保留两位小数。</w:t>
      </w:r>
    </w:p>
    <w:p w:rsidR="00304A8C" w:rsidRDefault="00981069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四</w:t>
      </w:r>
      <w:r w:rsidR="00304A8C">
        <w:rPr>
          <w:rFonts w:ascii="宋体" w:hAnsi="宋体" w:cs="宋体" w:hint="eastAsia"/>
          <w:kern w:val="0"/>
          <w:sz w:val="24"/>
        </w:rPr>
        <w:t>、商务标（</w:t>
      </w:r>
      <w:r w:rsidR="00975DEC">
        <w:rPr>
          <w:rFonts w:ascii="宋体" w:hAnsi="宋体" w:cs="宋体" w:hint="eastAsia"/>
          <w:kern w:val="0"/>
          <w:sz w:val="24"/>
        </w:rPr>
        <w:t>8</w:t>
      </w:r>
      <w:r w:rsidR="00304A8C">
        <w:rPr>
          <w:rFonts w:ascii="宋体" w:hAnsi="宋体" w:cs="宋体" w:hint="eastAsia"/>
          <w:kern w:val="0"/>
          <w:sz w:val="24"/>
        </w:rPr>
        <w:t>0分）</w:t>
      </w:r>
    </w:p>
    <w:p w:rsidR="00304A8C" w:rsidRDefault="00304A8C" w:rsidP="00304A8C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1、本项目</w:t>
      </w:r>
      <w:r w:rsidR="00975DEC">
        <w:rPr>
          <w:rFonts w:ascii="宋体" w:hAnsi="宋体" w:cs="宋体" w:hint="eastAsia"/>
          <w:kern w:val="0"/>
          <w:sz w:val="24"/>
        </w:rPr>
        <w:t>设置内</w:t>
      </w:r>
      <w:r>
        <w:rPr>
          <w:rFonts w:ascii="宋体" w:hAnsi="宋体" w:cs="宋体" w:hint="eastAsia"/>
          <w:kern w:val="0"/>
          <w:sz w:val="24"/>
        </w:rPr>
        <w:t>控</w:t>
      </w:r>
      <w:r w:rsidR="00975DEC">
        <w:rPr>
          <w:rFonts w:ascii="宋体" w:hAnsi="宋体" w:cs="宋体" w:hint="eastAsia"/>
          <w:kern w:val="0"/>
          <w:sz w:val="24"/>
        </w:rPr>
        <w:t>价</w:t>
      </w:r>
      <w:r>
        <w:rPr>
          <w:rFonts w:ascii="宋体" w:hAnsi="宋体" w:cs="宋体" w:hint="eastAsia"/>
          <w:kern w:val="0"/>
          <w:sz w:val="24"/>
        </w:rPr>
        <w:t>，大于</w:t>
      </w:r>
      <w:r w:rsidR="00975DEC">
        <w:rPr>
          <w:rFonts w:ascii="宋体" w:hAnsi="宋体" w:cs="宋体" w:hint="eastAsia"/>
          <w:kern w:val="0"/>
          <w:sz w:val="24"/>
        </w:rPr>
        <w:t>内控</w:t>
      </w:r>
      <w:r>
        <w:rPr>
          <w:rFonts w:ascii="宋体" w:hAnsi="宋体" w:cs="宋体" w:hint="eastAsia"/>
          <w:kern w:val="0"/>
          <w:sz w:val="24"/>
        </w:rPr>
        <w:t>价的</w:t>
      </w:r>
      <w:r w:rsidR="004A1CDA">
        <w:rPr>
          <w:rFonts w:ascii="宋体" w:hAnsi="宋体" w:cs="宋体" w:hint="eastAsia"/>
          <w:kern w:val="0"/>
          <w:sz w:val="24"/>
        </w:rPr>
        <w:t>投标书</w:t>
      </w:r>
      <w:r>
        <w:rPr>
          <w:rFonts w:ascii="宋体" w:hAnsi="宋体" w:cs="宋体" w:hint="eastAsia"/>
          <w:kern w:val="0"/>
          <w:sz w:val="24"/>
        </w:rPr>
        <w:t>作废标处理。</w:t>
      </w:r>
    </w:p>
    <w:p w:rsidR="00304A8C" w:rsidRDefault="00304A8C" w:rsidP="00304A8C">
      <w:pPr>
        <w:snapToGrid w:val="0"/>
        <w:spacing w:line="420" w:lineRule="exact"/>
        <w:ind w:firstLineChars="202" w:firstLine="48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2、价格分采用低价优先法计算，即满足招标文件要求且投标价格最低的投标报价为评标基准价，其价格分为满分。其他投标人的价格分别按照下列公式计算：</w:t>
      </w:r>
    </w:p>
    <w:p w:rsidR="00304A8C" w:rsidRDefault="00304A8C" w:rsidP="00304A8C">
      <w:pPr>
        <w:snapToGrid w:val="0"/>
        <w:spacing w:line="420" w:lineRule="exact"/>
        <w:ind w:firstLine="570"/>
        <w:rPr>
          <w:rFonts w:ascii="宋体" w:hAnsi="宋体"/>
          <w:b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报价得分 =（评标基准价/报价）×</w:t>
      </w:r>
      <w:r w:rsidR="00975DEC"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0%×100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CE2EAA" w:rsidRPr="00E7259B" w:rsidRDefault="00EA1951" w:rsidP="004F6646">
      <w:pPr>
        <w:rPr>
          <w:color w:val="FF0000"/>
        </w:rPr>
      </w:pPr>
    </w:p>
    <w:sectPr w:rsidR="00CE2EAA" w:rsidRPr="00E7259B" w:rsidSect="00CA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51" w:rsidRDefault="00EA1951" w:rsidP="00AB26C7">
      <w:r>
        <w:separator/>
      </w:r>
    </w:p>
  </w:endnote>
  <w:endnote w:type="continuationSeparator" w:id="0">
    <w:p w:rsidR="00EA1951" w:rsidRDefault="00EA1951" w:rsidP="00AB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51" w:rsidRDefault="00EA1951" w:rsidP="00AB26C7">
      <w:r>
        <w:separator/>
      </w:r>
    </w:p>
  </w:footnote>
  <w:footnote w:type="continuationSeparator" w:id="0">
    <w:p w:rsidR="00EA1951" w:rsidRDefault="00EA1951" w:rsidP="00AB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8C"/>
    <w:rsid w:val="00045CF9"/>
    <w:rsid w:val="000832D6"/>
    <w:rsid w:val="000B6CEB"/>
    <w:rsid w:val="000F26FC"/>
    <w:rsid w:val="000F6D32"/>
    <w:rsid w:val="001522AB"/>
    <w:rsid w:val="001560E5"/>
    <w:rsid w:val="001760A6"/>
    <w:rsid w:val="00185984"/>
    <w:rsid w:val="001D018A"/>
    <w:rsid w:val="001D054E"/>
    <w:rsid w:val="00304A8C"/>
    <w:rsid w:val="0033005E"/>
    <w:rsid w:val="003661C9"/>
    <w:rsid w:val="00372D9E"/>
    <w:rsid w:val="00373C2A"/>
    <w:rsid w:val="003E50D7"/>
    <w:rsid w:val="00470F03"/>
    <w:rsid w:val="004A1CDA"/>
    <w:rsid w:val="004F6646"/>
    <w:rsid w:val="005A636C"/>
    <w:rsid w:val="00680D22"/>
    <w:rsid w:val="007141C1"/>
    <w:rsid w:val="007F1593"/>
    <w:rsid w:val="008974BD"/>
    <w:rsid w:val="008A4371"/>
    <w:rsid w:val="008B0BAD"/>
    <w:rsid w:val="00975DEC"/>
    <w:rsid w:val="00981069"/>
    <w:rsid w:val="009817E2"/>
    <w:rsid w:val="0098557A"/>
    <w:rsid w:val="009C4D59"/>
    <w:rsid w:val="00A03CEF"/>
    <w:rsid w:val="00AA6AE5"/>
    <w:rsid w:val="00AB26C7"/>
    <w:rsid w:val="00B43A78"/>
    <w:rsid w:val="00B771D3"/>
    <w:rsid w:val="00B914EF"/>
    <w:rsid w:val="00C07E34"/>
    <w:rsid w:val="00C425CA"/>
    <w:rsid w:val="00C504AF"/>
    <w:rsid w:val="00CA274B"/>
    <w:rsid w:val="00DF0B01"/>
    <w:rsid w:val="00E7259B"/>
    <w:rsid w:val="00E96672"/>
    <w:rsid w:val="00EA1951"/>
    <w:rsid w:val="00F15232"/>
    <w:rsid w:val="00F800EB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4A8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4A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B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6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8</cp:revision>
  <dcterms:created xsi:type="dcterms:W3CDTF">2019-12-11T04:24:00Z</dcterms:created>
  <dcterms:modified xsi:type="dcterms:W3CDTF">2019-12-16T04:03:00Z</dcterms:modified>
</cp:coreProperties>
</file>